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2C6625" w:rsidRDefault="00F65AB0" w:rsidP="002C6625">
      <w:pPr>
        <w:spacing w:line="360" w:lineRule="auto"/>
        <w:jc w:val="both"/>
        <w:rPr>
          <w:rFonts w:ascii="Times New Roman" w:hAnsi="Times New Roman" w:cs="Times New Roman"/>
          <w:b/>
          <w:color w:val="000000" w:themeColor="text1"/>
        </w:rPr>
      </w:pPr>
      <w:r w:rsidRPr="002C6625">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7B4727" w:rsidRPr="002C6625" w14:paraId="51335FA7" w14:textId="77777777" w:rsidTr="003B2769">
        <w:trPr>
          <w:trHeight w:val="1075"/>
        </w:trPr>
        <w:tc>
          <w:tcPr>
            <w:tcW w:w="3062" w:type="dxa"/>
          </w:tcPr>
          <w:p w14:paraId="386D6331" w14:textId="242ECB77" w:rsidR="008B4488" w:rsidRPr="002C6625" w:rsidRDefault="00F65AB0" w:rsidP="002C6625">
            <w:pPr>
              <w:spacing w:line="360" w:lineRule="auto"/>
              <w:jc w:val="both"/>
              <w:rPr>
                <w:rFonts w:ascii="Times New Roman" w:hAnsi="Times New Roman" w:cs="Times New Roman"/>
                <w:b/>
                <w:bCs/>
                <w:color w:val="000000" w:themeColor="text1"/>
              </w:rPr>
            </w:pPr>
            <w:r w:rsidRPr="002C6625">
              <w:rPr>
                <w:rFonts w:ascii="Times New Roman" w:hAnsi="Times New Roman" w:cs="Times New Roman"/>
                <w:b/>
                <w:bCs/>
                <w:color w:val="000000" w:themeColor="text1"/>
              </w:rPr>
              <w:t>Article Nu</w:t>
            </w:r>
            <w:r w:rsidR="00AF6633" w:rsidRPr="002C6625">
              <w:rPr>
                <w:rFonts w:ascii="Times New Roman" w:hAnsi="Times New Roman" w:cs="Times New Roman"/>
                <w:b/>
                <w:bCs/>
                <w:color w:val="000000" w:themeColor="text1"/>
              </w:rPr>
              <w:t>mber:</w:t>
            </w:r>
            <w:r w:rsidR="00592E03" w:rsidRPr="002C6625">
              <w:rPr>
                <w:rFonts w:ascii="Times New Roman" w:hAnsi="Times New Roman" w:cs="Times New Roman"/>
                <w:b/>
                <w:bCs/>
                <w:color w:val="000000" w:themeColor="text1"/>
              </w:rPr>
              <w:t xml:space="preserve"> </w:t>
            </w:r>
            <w:r w:rsidR="002C6625">
              <w:rPr>
                <w:rFonts w:ascii="Times New Roman" w:hAnsi="Times New Roman" w:cs="Times New Roman"/>
                <w:b/>
                <w:bCs/>
                <w:color w:val="000000" w:themeColor="text1"/>
              </w:rPr>
              <w:t>JOCR-2939</w:t>
            </w:r>
          </w:p>
          <w:p w14:paraId="3DEDC094" w14:textId="739DB0A4" w:rsidR="005D7FCF" w:rsidRPr="002C6625" w:rsidRDefault="005D7FCF" w:rsidP="002C6625">
            <w:pPr>
              <w:spacing w:line="360" w:lineRule="auto"/>
              <w:jc w:val="both"/>
              <w:rPr>
                <w:rFonts w:ascii="Times New Roman" w:hAnsi="Times New Roman" w:cs="Times New Roman"/>
                <w:color w:val="000000" w:themeColor="text1"/>
              </w:rPr>
            </w:pPr>
          </w:p>
        </w:tc>
        <w:tc>
          <w:tcPr>
            <w:tcW w:w="3600" w:type="dxa"/>
          </w:tcPr>
          <w:p w14:paraId="6E770AE1" w14:textId="4A28A0D0" w:rsidR="005C59E4" w:rsidRPr="002C6625" w:rsidRDefault="000321C7" w:rsidP="002C6625">
            <w:pPr>
              <w:autoSpaceDE w:val="0"/>
              <w:autoSpaceDN w:val="0"/>
              <w:adjustRightInd w:val="0"/>
              <w:spacing w:after="0" w:line="360" w:lineRule="auto"/>
              <w:jc w:val="both"/>
              <w:rPr>
                <w:rFonts w:ascii="Times New Roman" w:hAnsi="Times New Roman" w:cs="Times New Roman"/>
                <w:b/>
                <w:bCs/>
                <w:color w:val="000000" w:themeColor="text1"/>
                <w:lang w:val="en-GB"/>
              </w:rPr>
            </w:pPr>
            <w:r w:rsidRPr="002C6625">
              <w:rPr>
                <w:rFonts w:ascii="Times New Roman" w:hAnsi="Times New Roman" w:cs="Times New Roman"/>
                <w:b/>
                <w:bCs/>
                <w:color w:val="000000" w:themeColor="text1"/>
                <w:lang w:val="en-GB"/>
              </w:rPr>
              <w:t xml:space="preserve">     </w:t>
            </w:r>
            <w:r w:rsidR="003069E0" w:rsidRPr="002C6625">
              <w:rPr>
                <w:rFonts w:ascii="Times New Roman" w:hAnsi="Times New Roman" w:cs="Times New Roman"/>
                <w:b/>
                <w:bCs/>
                <w:color w:val="000000" w:themeColor="text1"/>
                <w:lang w:val="en-GB"/>
              </w:rPr>
              <w:t>Author Name</w:t>
            </w:r>
          </w:p>
          <w:p w14:paraId="7323098C" w14:textId="22B8D2F1" w:rsidR="00751219" w:rsidRPr="002C6625" w:rsidRDefault="002C6625" w:rsidP="002C6625">
            <w:pPr>
              <w:autoSpaceDE w:val="0"/>
              <w:autoSpaceDN w:val="0"/>
              <w:adjustRightInd w:val="0"/>
              <w:spacing w:after="0" w:line="360" w:lineRule="auto"/>
              <w:jc w:val="both"/>
              <w:rPr>
                <w:rFonts w:ascii="Times New Roman" w:hAnsi="Times New Roman" w:cs="Times New Roman"/>
                <w:b/>
                <w:color w:val="000000" w:themeColor="text1"/>
              </w:rPr>
            </w:pPr>
            <w:r w:rsidRPr="002C6625">
              <w:rPr>
                <w:rFonts w:ascii="Times New Roman" w:hAnsi="Times New Roman" w:cs="Times New Roman"/>
                <w:color w:val="000000" w:themeColor="text1"/>
              </w:rPr>
              <w:tab/>
            </w:r>
            <w:r w:rsidRPr="002C6625">
              <w:rPr>
                <w:rFonts w:ascii="Times New Roman" w:hAnsi="Times New Roman" w:cs="Times New Roman"/>
                <w:b/>
                <w:color w:val="000000" w:themeColor="text1"/>
              </w:rPr>
              <w:t>Saito Toshihiro</w:t>
            </w:r>
          </w:p>
          <w:p w14:paraId="0E0051C1" w14:textId="045CB523" w:rsidR="003069E0" w:rsidRPr="002C6625" w:rsidRDefault="003069E0" w:rsidP="002C6625">
            <w:pPr>
              <w:autoSpaceDE w:val="0"/>
              <w:autoSpaceDN w:val="0"/>
              <w:adjustRightInd w:val="0"/>
              <w:spacing w:after="0" w:line="360" w:lineRule="auto"/>
              <w:jc w:val="both"/>
              <w:rPr>
                <w:rFonts w:ascii="Times New Roman" w:hAnsi="Times New Roman" w:cs="Times New Roman"/>
                <w:bCs/>
                <w:color w:val="000000" w:themeColor="text1"/>
                <w:lang w:val="en-GB"/>
              </w:rPr>
            </w:pPr>
          </w:p>
        </w:tc>
        <w:tc>
          <w:tcPr>
            <w:tcW w:w="3510" w:type="dxa"/>
          </w:tcPr>
          <w:p w14:paraId="3D4D1535" w14:textId="581F9B78" w:rsidR="008B4488" w:rsidRPr="002C6625" w:rsidRDefault="00240F9C" w:rsidP="002C6625">
            <w:pPr>
              <w:spacing w:line="360" w:lineRule="auto"/>
              <w:jc w:val="both"/>
              <w:rPr>
                <w:rFonts w:ascii="Times New Roman" w:hAnsi="Times New Roman" w:cs="Times New Roman"/>
                <w:color w:val="000000" w:themeColor="text1"/>
              </w:rPr>
            </w:pPr>
            <w:r w:rsidRPr="002C6625">
              <w:rPr>
                <w:rFonts w:ascii="Times New Roman" w:hAnsi="Times New Roman" w:cs="Times New Roman"/>
                <w:color w:val="000000" w:themeColor="text1"/>
              </w:rPr>
              <w:t xml:space="preserve"> </w:t>
            </w:r>
          </w:p>
        </w:tc>
      </w:tr>
      <w:tr w:rsidR="007B4727" w:rsidRPr="002C6625" w14:paraId="1E818F0A" w14:textId="77777777" w:rsidTr="007B4727">
        <w:trPr>
          <w:trHeight w:val="413"/>
        </w:trPr>
        <w:tc>
          <w:tcPr>
            <w:tcW w:w="3062" w:type="dxa"/>
          </w:tcPr>
          <w:p w14:paraId="3AE97BDC" w14:textId="6CDD2A31" w:rsidR="008B4488" w:rsidRPr="002C6625" w:rsidRDefault="00AF6633" w:rsidP="002C6625">
            <w:pPr>
              <w:spacing w:line="360" w:lineRule="auto"/>
              <w:ind w:left="360"/>
              <w:jc w:val="both"/>
              <w:rPr>
                <w:rFonts w:ascii="Times New Roman" w:hAnsi="Times New Roman" w:cs="Times New Roman"/>
                <w:color w:val="000000" w:themeColor="text1"/>
              </w:rPr>
            </w:pPr>
            <w:r w:rsidRPr="002C6625">
              <w:rPr>
                <w:rFonts w:ascii="Times New Roman" w:hAnsi="Times New Roman" w:cs="Times New Roman"/>
                <w:color w:val="000000" w:themeColor="text1"/>
              </w:rPr>
              <w:t>Accept: 1</w:t>
            </w:r>
            <w:r w:rsidR="005A7ACE" w:rsidRPr="002C6625">
              <w:rPr>
                <w:rFonts w:ascii="Times New Roman" w:hAnsi="Times New Roman" w:cs="Times New Roman"/>
                <w:color w:val="000000" w:themeColor="text1"/>
              </w:rPr>
              <w:t xml:space="preserve"> </w:t>
            </w:r>
          </w:p>
        </w:tc>
        <w:tc>
          <w:tcPr>
            <w:tcW w:w="3600" w:type="dxa"/>
          </w:tcPr>
          <w:p w14:paraId="2A4179DF" w14:textId="3707CEA3" w:rsidR="008B4488" w:rsidRPr="002C6625" w:rsidRDefault="00AF6633" w:rsidP="002C6625">
            <w:pPr>
              <w:pStyle w:val="ListParagraph"/>
              <w:numPr>
                <w:ilvl w:val="0"/>
                <w:numId w:val="5"/>
              </w:numPr>
              <w:spacing w:line="360" w:lineRule="auto"/>
              <w:jc w:val="both"/>
              <w:rPr>
                <w:rFonts w:ascii="Times New Roman" w:hAnsi="Times New Roman" w:cs="Times New Roman"/>
                <w:b/>
                <w:color w:val="000000" w:themeColor="text1"/>
              </w:rPr>
            </w:pPr>
            <w:r w:rsidRPr="002C6625">
              <w:rPr>
                <w:rFonts w:ascii="Times New Roman" w:hAnsi="Times New Roman" w:cs="Times New Roman"/>
                <w:b/>
                <w:color w:val="000000" w:themeColor="text1"/>
              </w:rPr>
              <w:t>Minor Revision: 2</w:t>
            </w:r>
          </w:p>
        </w:tc>
        <w:tc>
          <w:tcPr>
            <w:tcW w:w="3510" w:type="dxa"/>
          </w:tcPr>
          <w:p w14:paraId="2CED1669" w14:textId="77777777" w:rsidR="008B4488" w:rsidRPr="002C6625" w:rsidRDefault="00AF6633" w:rsidP="002C6625">
            <w:pPr>
              <w:spacing w:line="360" w:lineRule="auto"/>
              <w:jc w:val="both"/>
              <w:rPr>
                <w:rFonts w:ascii="Times New Roman" w:hAnsi="Times New Roman" w:cs="Times New Roman"/>
                <w:color w:val="000000" w:themeColor="text1"/>
              </w:rPr>
            </w:pPr>
            <w:r w:rsidRPr="002C6625">
              <w:rPr>
                <w:rFonts w:ascii="Times New Roman" w:hAnsi="Times New Roman" w:cs="Times New Roman"/>
                <w:color w:val="000000" w:themeColor="text1"/>
              </w:rPr>
              <w:t>Major Revision: 3</w:t>
            </w:r>
          </w:p>
        </w:tc>
      </w:tr>
      <w:tr w:rsidR="007B4727" w:rsidRPr="002C6625" w14:paraId="12B3DCF4" w14:textId="77777777" w:rsidTr="003B2769">
        <w:trPr>
          <w:trHeight w:val="440"/>
        </w:trPr>
        <w:tc>
          <w:tcPr>
            <w:tcW w:w="3062" w:type="dxa"/>
          </w:tcPr>
          <w:p w14:paraId="6B5944C0" w14:textId="2C73A727" w:rsidR="00AF6633" w:rsidRPr="002C6625" w:rsidRDefault="00FA0A35" w:rsidP="002C6625">
            <w:pPr>
              <w:spacing w:line="360" w:lineRule="auto"/>
              <w:jc w:val="both"/>
              <w:rPr>
                <w:rFonts w:ascii="Times New Roman" w:hAnsi="Times New Roman" w:cs="Times New Roman"/>
                <w:color w:val="000000" w:themeColor="text1"/>
              </w:rPr>
            </w:pPr>
            <w:r w:rsidRPr="002C6625">
              <w:rPr>
                <w:rFonts w:ascii="Times New Roman" w:hAnsi="Times New Roman" w:cs="Times New Roman"/>
                <w:color w:val="000000" w:themeColor="text1"/>
              </w:rPr>
              <w:t xml:space="preserve">       </w:t>
            </w:r>
            <w:r w:rsidR="00AF6633" w:rsidRPr="002C6625">
              <w:rPr>
                <w:rFonts w:ascii="Times New Roman" w:hAnsi="Times New Roman" w:cs="Times New Roman"/>
                <w:color w:val="000000" w:themeColor="text1"/>
              </w:rPr>
              <w:t>Reject: 4</w:t>
            </w:r>
          </w:p>
        </w:tc>
        <w:tc>
          <w:tcPr>
            <w:tcW w:w="3600" w:type="dxa"/>
          </w:tcPr>
          <w:p w14:paraId="5AAF7CF3" w14:textId="40029F47" w:rsidR="00AF6633" w:rsidRPr="002C6625" w:rsidRDefault="00AF6633" w:rsidP="002C6625">
            <w:pPr>
              <w:spacing w:line="360" w:lineRule="auto"/>
              <w:jc w:val="both"/>
              <w:rPr>
                <w:rFonts w:ascii="Times New Roman" w:hAnsi="Times New Roman" w:cs="Times New Roman"/>
                <w:color w:val="000000" w:themeColor="text1"/>
              </w:rPr>
            </w:pPr>
            <w:r w:rsidRPr="002C6625">
              <w:rPr>
                <w:rFonts w:ascii="Times New Roman" w:hAnsi="Times New Roman" w:cs="Times New Roman"/>
                <w:color w:val="000000" w:themeColor="text1"/>
              </w:rPr>
              <w:t>Re-revision: 5</w:t>
            </w:r>
          </w:p>
        </w:tc>
        <w:tc>
          <w:tcPr>
            <w:tcW w:w="3510" w:type="dxa"/>
          </w:tcPr>
          <w:p w14:paraId="19595238" w14:textId="77777777" w:rsidR="00AF6633" w:rsidRPr="002C6625" w:rsidRDefault="00AF6633" w:rsidP="002C6625">
            <w:pPr>
              <w:spacing w:line="360" w:lineRule="auto"/>
              <w:jc w:val="both"/>
              <w:rPr>
                <w:rFonts w:ascii="Times New Roman" w:hAnsi="Times New Roman" w:cs="Times New Roman"/>
                <w:color w:val="000000" w:themeColor="text1"/>
              </w:rPr>
            </w:pPr>
            <w:r w:rsidRPr="002C6625">
              <w:rPr>
                <w:rFonts w:ascii="Times New Roman" w:hAnsi="Times New Roman" w:cs="Times New Roman"/>
                <w:color w:val="000000" w:themeColor="text1"/>
              </w:rPr>
              <w:t>Poor Quality: 6</w:t>
            </w:r>
          </w:p>
        </w:tc>
      </w:tr>
      <w:tr w:rsidR="007B4727" w:rsidRPr="002C6625" w14:paraId="1EE1E661" w14:textId="77777777" w:rsidTr="00DE24E6">
        <w:trPr>
          <w:trHeight w:val="2240"/>
        </w:trPr>
        <w:tc>
          <w:tcPr>
            <w:tcW w:w="10172" w:type="dxa"/>
            <w:gridSpan w:val="3"/>
          </w:tcPr>
          <w:p w14:paraId="356F0A33" w14:textId="3F14BCCD" w:rsidR="00E9204E" w:rsidRPr="002C6625" w:rsidRDefault="00E9204E" w:rsidP="002C6625">
            <w:pPr>
              <w:spacing w:line="360" w:lineRule="auto"/>
              <w:jc w:val="both"/>
              <w:rPr>
                <w:rFonts w:ascii="Times New Roman" w:eastAsia="Times New Roman" w:hAnsi="Times New Roman" w:cs="Times New Roman"/>
                <w:b/>
                <w:bCs/>
                <w:color w:val="000000"/>
                <w:shd w:val="clear" w:color="auto" w:fill="FFFFFF"/>
                <w:lang w:val="en-IN" w:eastAsia="en-IN"/>
              </w:rPr>
            </w:pPr>
            <w:r w:rsidRPr="002C6625">
              <w:rPr>
                <w:rFonts w:ascii="Times New Roman" w:eastAsia="Times New Roman" w:hAnsi="Times New Roman" w:cs="Times New Roman"/>
                <w:b/>
                <w:bCs/>
                <w:color w:val="000000"/>
                <w:shd w:val="clear" w:color="auto" w:fill="FFFFFF"/>
                <w:lang w:val="en-IN" w:eastAsia="en-IN"/>
              </w:rPr>
              <w:t xml:space="preserve">Title: </w:t>
            </w:r>
            <w:r w:rsidR="002C6625" w:rsidRPr="002C6625">
              <w:rPr>
                <w:rFonts w:ascii="Times New Roman" w:eastAsia="Times New Roman" w:hAnsi="Times New Roman" w:cs="Times New Roman"/>
                <w:b/>
                <w:bCs/>
                <w:color w:val="000000"/>
                <w:shd w:val="clear" w:color="auto" w:fill="FFFFFF"/>
                <w:lang w:val="en-IN" w:eastAsia="en-IN"/>
              </w:rPr>
              <w:t>Docetaxel Therapy for Metastatic Hormone-Sensitive Prostate Cancer -A Single-Center Retrospective Study in Japan</w:t>
            </w:r>
          </w:p>
          <w:p w14:paraId="0BE9CADB" w14:textId="51F5E6CB" w:rsidR="00DB7D9F" w:rsidRPr="002C6625" w:rsidRDefault="00140858" w:rsidP="002C6625">
            <w:pPr>
              <w:spacing w:line="360" w:lineRule="auto"/>
              <w:jc w:val="both"/>
              <w:rPr>
                <w:rFonts w:ascii="Times New Roman" w:hAnsi="Times New Roman" w:cs="Times New Roman"/>
              </w:rPr>
            </w:pPr>
            <w:r w:rsidRPr="002C6625">
              <w:rPr>
                <w:rFonts w:ascii="Times New Roman" w:eastAsia="Times New Roman" w:hAnsi="Times New Roman" w:cs="Times New Roman"/>
                <w:bCs/>
                <w:color w:val="000000"/>
                <w:shd w:val="clear" w:color="auto" w:fill="FFFFFF"/>
                <w:lang w:val="en-IN" w:eastAsia="en-IN"/>
              </w:rPr>
              <w:t xml:space="preserve">General Comments </w:t>
            </w:r>
            <w:r w:rsidR="002E69E4" w:rsidRPr="002C6625">
              <w:rPr>
                <w:rFonts w:ascii="Times New Roman" w:eastAsia="Times New Roman" w:hAnsi="Times New Roman" w:cs="Times New Roman"/>
                <w:bCs/>
                <w:color w:val="000000"/>
                <w:shd w:val="clear" w:color="auto" w:fill="FFFFFF"/>
                <w:lang w:val="en-IN" w:eastAsia="en-IN"/>
              </w:rPr>
              <w:t>from</w:t>
            </w:r>
            <w:r w:rsidRPr="002C6625">
              <w:rPr>
                <w:rFonts w:ascii="Times New Roman" w:eastAsia="Times New Roman" w:hAnsi="Times New Roman" w:cs="Times New Roman"/>
                <w:bCs/>
                <w:color w:val="000000"/>
                <w:shd w:val="clear" w:color="auto" w:fill="FFFFFF"/>
                <w:lang w:val="en-IN" w:eastAsia="en-IN"/>
              </w:rPr>
              <w:t xml:space="preserve"> Reviewer: </w:t>
            </w:r>
            <w:r w:rsidR="00DB7D9F" w:rsidRPr="002C6625">
              <w:rPr>
                <w:rFonts w:ascii="Times New Roman" w:hAnsi="Times New Roman" w:cs="Times New Roman"/>
              </w:rPr>
              <w:t>In this study, Saito et al. investigated the effect of docetaxel (DTX) on metastatic hormone-sensitive prostate cancer (mHSPC) before introduction of androgen receptor axis-targeted therapy and reported that DTX can add benefit on androgen deprivation therapy in terms of both prostate-specific antigen - progression free survival and overall survival. This is a single-institutional and retrospective study without randomization, and hence, there are many limitations in understanding the results of this study. However, I think that this study would have some merit for planning and performing further studies. Above all, it will be encouraging for researchers working at leading local facilities. I would like to make some comments to improve this manuscript. First of all, I recommend change the title to “Docetaxel in Combination with Androgen Deprivation Therapy for Metastatic Hormone-Sensitive Prostate Cancer – A Single-Center Retrospective Study in Japan.”</w:t>
            </w:r>
          </w:p>
          <w:p w14:paraId="274CC7F4" w14:textId="6C0DCB8C" w:rsidR="00D370CF" w:rsidRPr="002C6625" w:rsidRDefault="00140858" w:rsidP="002C6625">
            <w:pPr>
              <w:spacing w:line="360" w:lineRule="auto"/>
              <w:jc w:val="both"/>
              <w:rPr>
                <w:rFonts w:ascii="Times New Roman" w:eastAsia="Times New Roman" w:hAnsi="Times New Roman" w:cs="Times New Roman"/>
                <w:bCs/>
                <w:color w:val="000000"/>
                <w:shd w:val="clear" w:color="auto" w:fill="FFFFFF"/>
                <w:lang w:val="en-IN" w:eastAsia="en-IN"/>
              </w:rPr>
            </w:pPr>
            <w:r w:rsidRPr="002C6625">
              <w:rPr>
                <w:rFonts w:ascii="Times New Roman" w:eastAsia="Times New Roman" w:hAnsi="Times New Roman" w:cs="Times New Roman"/>
                <w:bCs/>
                <w:color w:val="000000"/>
                <w:shd w:val="clear" w:color="auto" w:fill="FFFFFF"/>
                <w:lang w:val="en-IN" w:eastAsia="en-IN"/>
              </w:rPr>
              <w:t xml:space="preserve">Introduction: </w:t>
            </w:r>
            <w:r w:rsidR="00D370CF" w:rsidRPr="002C6625">
              <w:rPr>
                <w:rFonts w:ascii="Times New Roman" w:eastAsia="Times New Roman" w:hAnsi="Times New Roman" w:cs="Times New Roman"/>
                <w:bCs/>
                <w:color w:val="000000"/>
                <w:shd w:val="clear" w:color="auto" w:fill="FFFFFF"/>
                <w:lang w:val="en-IN" w:eastAsia="en-IN"/>
              </w:rPr>
              <w:t>To strength</w:t>
            </w:r>
            <w:r w:rsidR="00CA6140">
              <w:rPr>
                <w:rFonts w:ascii="Times New Roman" w:eastAsia="Times New Roman" w:hAnsi="Times New Roman" w:cs="Times New Roman"/>
                <w:bCs/>
                <w:color w:val="000000"/>
                <w:shd w:val="clear" w:color="auto" w:fill="FFFFFF"/>
                <w:lang w:val="en-IN" w:eastAsia="en-IN"/>
              </w:rPr>
              <w:t>en the findings of this study, we</w:t>
            </w:r>
            <w:r w:rsidR="00D370CF" w:rsidRPr="002C6625">
              <w:rPr>
                <w:rFonts w:ascii="Times New Roman" w:eastAsia="Times New Roman" w:hAnsi="Times New Roman" w:cs="Times New Roman"/>
                <w:bCs/>
                <w:color w:val="000000"/>
                <w:shd w:val="clear" w:color="auto" w:fill="FFFFFF"/>
                <w:lang w:val="en-IN" w:eastAsia="en-IN"/>
              </w:rPr>
              <w:t xml:space="preserve"> would suggest conducting a prospective randomized controlled trial in Japan with a larger sample size to confirm the effectiveness of docetaxel chemotherapy for Japanese patients with mHSPC. It would also be helpful to evaluate the effectiveness of docetaxel chemotherapy in combination with ARAT, which is now the standar</w:t>
            </w:r>
            <w:r w:rsidR="00E62AFE" w:rsidRPr="002C6625">
              <w:rPr>
                <w:rFonts w:ascii="Times New Roman" w:eastAsia="Times New Roman" w:hAnsi="Times New Roman" w:cs="Times New Roman"/>
                <w:bCs/>
                <w:color w:val="000000"/>
                <w:shd w:val="clear" w:color="auto" w:fill="FFFFFF"/>
                <w:lang w:val="en-IN" w:eastAsia="en-IN"/>
              </w:rPr>
              <w:t>d of care in Western countries.</w:t>
            </w:r>
          </w:p>
          <w:p w14:paraId="603ED7DF" w14:textId="77777777" w:rsidR="00083DE8" w:rsidRPr="002C6625" w:rsidRDefault="00D370CF" w:rsidP="002C6625">
            <w:pPr>
              <w:spacing w:line="360" w:lineRule="auto"/>
              <w:jc w:val="both"/>
              <w:rPr>
                <w:rFonts w:ascii="Times New Roman" w:eastAsia="Times New Roman" w:hAnsi="Times New Roman" w:cs="Times New Roman"/>
                <w:bCs/>
                <w:color w:val="000000"/>
                <w:shd w:val="clear" w:color="auto" w:fill="FFFFFF"/>
                <w:lang w:val="en-IN" w:eastAsia="en-IN"/>
              </w:rPr>
            </w:pPr>
            <w:r w:rsidRPr="002C6625">
              <w:rPr>
                <w:rFonts w:ascii="Times New Roman" w:eastAsia="Times New Roman" w:hAnsi="Times New Roman" w:cs="Times New Roman"/>
                <w:bCs/>
                <w:color w:val="000000"/>
                <w:shd w:val="clear" w:color="auto" w:fill="FFFFFF"/>
                <w:lang w:val="en-IN" w:eastAsia="en-IN"/>
              </w:rPr>
              <w:t>In summary, while the results of this retrospective study provide initial evidence for the effectiveness of docetaxel chemotherapy for Japanese patients with mHSPC, further research is needed to confirm these findings and investigate potential barriers to the adoption of new treatments in Japan.</w:t>
            </w:r>
          </w:p>
          <w:p w14:paraId="5A76FEB6" w14:textId="77777777" w:rsidR="002E69E4" w:rsidRPr="002C6625" w:rsidRDefault="00140858" w:rsidP="002C6625">
            <w:pPr>
              <w:spacing w:line="360" w:lineRule="auto"/>
              <w:jc w:val="both"/>
              <w:rPr>
                <w:rFonts w:ascii="Times New Roman" w:eastAsia="Times New Roman" w:hAnsi="Times New Roman" w:cs="Times New Roman"/>
                <w:bCs/>
                <w:color w:val="000000"/>
                <w:shd w:val="clear" w:color="auto" w:fill="FFFFFF"/>
                <w:lang w:val="en-IN" w:eastAsia="en-IN"/>
              </w:rPr>
            </w:pPr>
            <w:r w:rsidRPr="002C6625">
              <w:rPr>
                <w:rFonts w:ascii="Times New Roman" w:eastAsia="Times New Roman" w:hAnsi="Times New Roman" w:cs="Times New Roman"/>
                <w:bCs/>
                <w:color w:val="000000"/>
                <w:shd w:val="clear" w:color="auto" w:fill="FFFFFF"/>
                <w:lang w:val="en-IN" w:eastAsia="en-IN"/>
              </w:rPr>
              <w:t xml:space="preserve">Methodology: </w:t>
            </w:r>
            <w:bookmarkStart w:id="0" w:name="_GoBack"/>
            <w:bookmarkEnd w:id="0"/>
          </w:p>
          <w:p w14:paraId="08826A2C" w14:textId="0E2FCA77" w:rsidR="002E69E4" w:rsidRPr="002C6625" w:rsidRDefault="00E62AFE" w:rsidP="002C6625">
            <w:pPr>
              <w:spacing w:line="360" w:lineRule="auto"/>
              <w:jc w:val="both"/>
              <w:rPr>
                <w:rFonts w:ascii="Times New Roman" w:hAnsi="Times New Roman" w:cs="Times New Roman"/>
              </w:rPr>
            </w:pPr>
            <w:r w:rsidRPr="002C6625">
              <w:rPr>
                <w:rFonts w:ascii="Times New Roman" w:hAnsi="Times New Roman" w:cs="Times New Roman"/>
              </w:rPr>
              <w:t xml:space="preserve">1. Patients and Results: There are significant differences in age and PS between DTX group and Control group (Table 1). These differences may greatly affect the results of patients’ prognoses. Ideally, comparison between </w:t>
            </w:r>
            <w:r w:rsidRPr="002C6625">
              <w:rPr>
                <w:rFonts w:ascii="Times New Roman" w:hAnsi="Times New Roman" w:cs="Times New Roman"/>
              </w:rPr>
              <w:lastRenderedPageBreak/>
              <w:t xml:space="preserve">DTX group and propensity-matched Control group should be performed. If you do not choose this strategy, you had better describe the possible effects of these differences clearly in Discussion as limitations of the study. </w:t>
            </w:r>
          </w:p>
          <w:p w14:paraId="128D5CAF" w14:textId="4F3D94CD" w:rsidR="002E69E4" w:rsidRPr="002C6625" w:rsidRDefault="00E62AFE" w:rsidP="002C6625">
            <w:pPr>
              <w:spacing w:line="360" w:lineRule="auto"/>
              <w:jc w:val="both"/>
              <w:rPr>
                <w:rFonts w:ascii="Times New Roman" w:hAnsi="Times New Roman" w:cs="Times New Roman"/>
              </w:rPr>
            </w:pPr>
            <w:r w:rsidRPr="002C6625">
              <w:rPr>
                <w:rFonts w:ascii="Times New Roman" w:hAnsi="Times New Roman" w:cs="Times New Roman"/>
              </w:rPr>
              <w:t xml:space="preserve">2. Patients: Please explain the rationale for separating a low and a high metastatic burden by 4 bone metastases or visceral metastasis. </w:t>
            </w:r>
          </w:p>
          <w:p w14:paraId="64B7F347" w14:textId="2CF01CCB" w:rsidR="00E62AFE" w:rsidRPr="002C6625" w:rsidRDefault="00E62AFE" w:rsidP="002C6625">
            <w:pPr>
              <w:spacing w:line="360" w:lineRule="auto"/>
              <w:jc w:val="both"/>
              <w:rPr>
                <w:rFonts w:ascii="Times New Roman" w:hAnsi="Times New Roman" w:cs="Times New Roman"/>
              </w:rPr>
            </w:pPr>
            <w:r w:rsidRPr="002C6625">
              <w:rPr>
                <w:rFonts w:ascii="Times New Roman" w:hAnsi="Times New Roman" w:cs="Times New Roman"/>
              </w:rPr>
              <w:t>3. Treatments: Please explain the reason why steroid was not used with DTX. Then, please specify the names and doses of LH-RH agonists and anti-androgen therapy.</w:t>
            </w:r>
          </w:p>
          <w:p w14:paraId="28A04F29" w14:textId="2420C184" w:rsidR="002E69E4" w:rsidRPr="002C6625" w:rsidRDefault="00140858" w:rsidP="002C6625">
            <w:pPr>
              <w:spacing w:line="360" w:lineRule="auto"/>
              <w:jc w:val="both"/>
              <w:rPr>
                <w:rFonts w:ascii="Times New Roman" w:hAnsi="Times New Roman" w:cs="Times New Roman"/>
              </w:rPr>
            </w:pPr>
            <w:r w:rsidRPr="002C6625">
              <w:rPr>
                <w:rFonts w:ascii="Times New Roman" w:eastAsia="Times New Roman" w:hAnsi="Times New Roman" w:cs="Times New Roman"/>
                <w:bCs/>
                <w:color w:val="000000"/>
                <w:shd w:val="clear" w:color="auto" w:fill="FFFFFF"/>
                <w:lang w:val="en-IN" w:eastAsia="en-IN"/>
              </w:rPr>
              <w:t xml:space="preserve">Results: </w:t>
            </w:r>
            <w:r w:rsidR="002E69E4" w:rsidRPr="002C6625">
              <w:rPr>
                <w:rFonts w:ascii="Times New Roman" w:hAnsi="Times New Roman" w:cs="Times New Roman"/>
              </w:rPr>
              <w:t xml:space="preserve">1. Were there any adverse events related to toxicity that led to a change in treatment or discontinuation? </w:t>
            </w:r>
          </w:p>
          <w:p w14:paraId="29099231" w14:textId="77777777" w:rsidR="002E69E4" w:rsidRPr="002C6625" w:rsidRDefault="002E69E4" w:rsidP="002C6625">
            <w:pPr>
              <w:pStyle w:val="ListParagraph"/>
              <w:spacing w:line="360" w:lineRule="auto"/>
              <w:jc w:val="both"/>
              <w:rPr>
                <w:rFonts w:ascii="Times New Roman" w:hAnsi="Times New Roman" w:cs="Times New Roman"/>
              </w:rPr>
            </w:pPr>
            <w:r w:rsidRPr="002C6625">
              <w:rPr>
                <w:rFonts w:ascii="Times New Roman" w:hAnsi="Times New Roman" w:cs="Times New Roman"/>
              </w:rPr>
              <w:t>2. How did the authors test for significant differences on the Kaplan-Meier curve? Is a log-rank test performed on the Kaplan-Meier curve?</w:t>
            </w:r>
          </w:p>
          <w:p w14:paraId="7D43003D" w14:textId="77777777" w:rsidR="00A01660" w:rsidRPr="002C6625" w:rsidRDefault="00140858" w:rsidP="002C6625">
            <w:pPr>
              <w:spacing w:line="360" w:lineRule="auto"/>
              <w:jc w:val="both"/>
              <w:rPr>
                <w:rFonts w:ascii="Times New Roman" w:eastAsia="Times New Roman" w:hAnsi="Times New Roman" w:cs="Times New Roman"/>
                <w:bCs/>
                <w:color w:val="000000"/>
                <w:shd w:val="clear" w:color="auto" w:fill="FFFFFF"/>
                <w:lang w:val="en-IN" w:eastAsia="en-IN"/>
              </w:rPr>
            </w:pPr>
            <w:r w:rsidRPr="002C6625">
              <w:rPr>
                <w:rFonts w:ascii="Times New Roman" w:eastAsia="Times New Roman" w:hAnsi="Times New Roman" w:cs="Times New Roman"/>
                <w:bCs/>
                <w:color w:val="000000"/>
                <w:shd w:val="clear" w:color="auto" w:fill="FFFFFF"/>
                <w:lang w:val="en-IN" w:eastAsia="en-IN"/>
              </w:rPr>
              <w:t xml:space="preserve">Discussion: </w:t>
            </w:r>
            <w:r w:rsidR="00A01660" w:rsidRPr="002C6625">
              <w:rPr>
                <w:rFonts w:ascii="Times New Roman" w:eastAsia="Times New Roman" w:hAnsi="Times New Roman" w:cs="Times New Roman"/>
                <w:bCs/>
                <w:color w:val="000000"/>
                <w:shd w:val="clear" w:color="auto" w:fill="FFFFFF"/>
                <w:lang w:val="en-IN" w:eastAsia="en-IN"/>
              </w:rPr>
              <w:t>Did the authors find DTX therapy superior to VIP therapy? What are the benefits of DTX therapy over VIP therapy?</w:t>
            </w:r>
          </w:p>
          <w:p w14:paraId="1EEC568E" w14:textId="7B950396" w:rsidR="00DE24E6" w:rsidRPr="002C6625" w:rsidRDefault="00DE24E6" w:rsidP="002C6625">
            <w:pPr>
              <w:spacing w:line="360" w:lineRule="auto"/>
              <w:jc w:val="both"/>
              <w:rPr>
                <w:rFonts w:ascii="Times New Roman" w:eastAsia="Times New Roman" w:hAnsi="Times New Roman" w:cs="Times New Roman"/>
                <w:bCs/>
                <w:color w:val="000000"/>
                <w:shd w:val="clear" w:color="auto" w:fill="FFFFFF"/>
                <w:lang w:val="en-IN" w:eastAsia="en-IN"/>
              </w:rPr>
            </w:pPr>
            <w:r w:rsidRPr="002C6625">
              <w:rPr>
                <w:rFonts w:ascii="Times New Roman" w:eastAsia="Times New Roman" w:hAnsi="Times New Roman" w:cs="Times New Roman"/>
                <w:bCs/>
                <w:color w:val="000000"/>
                <w:shd w:val="clear" w:color="auto" w:fill="FFFFFF"/>
                <w:lang w:val="en-IN" w:eastAsia="en-IN"/>
              </w:rPr>
              <w:t xml:space="preserve">The article can be published after minor revision. </w:t>
            </w:r>
          </w:p>
          <w:p w14:paraId="6E32B26E" w14:textId="77777777" w:rsidR="0049531E" w:rsidRPr="002C6625" w:rsidRDefault="0049531E" w:rsidP="002C6625">
            <w:pPr>
              <w:spacing w:line="360" w:lineRule="auto"/>
              <w:jc w:val="both"/>
              <w:rPr>
                <w:rFonts w:ascii="Times New Roman" w:eastAsia="Times New Roman" w:hAnsi="Times New Roman" w:cs="Times New Roman"/>
                <w:bCs/>
                <w:color w:val="000000"/>
                <w:shd w:val="clear" w:color="auto" w:fill="FFFFFF"/>
                <w:lang w:val="en-IN" w:eastAsia="en-IN"/>
              </w:rPr>
            </w:pPr>
          </w:p>
          <w:p w14:paraId="16016FAA" w14:textId="77777777" w:rsidR="0049531E" w:rsidRPr="002C6625" w:rsidRDefault="0049531E" w:rsidP="002C6625">
            <w:pPr>
              <w:spacing w:line="360" w:lineRule="auto"/>
              <w:jc w:val="both"/>
              <w:rPr>
                <w:rFonts w:ascii="Times New Roman" w:eastAsia="Times New Roman" w:hAnsi="Times New Roman" w:cs="Times New Roman"/>
                <w:bCs/>
                <w:color w:val="000000"/>
                <w:shd w:val="clear" w:color="auto" w:fill="FFFFFF"/>
                <w:lang w:val="en-IN" w:eastAsia="en-IN"/>
              </w:rPr>
            </w:pPr>
          </w:p>
          <w:p w14:paraId="387941E6" w14:textId="74A77D36" w:rsidR="0049531E" w:rsidRPr="002C6625" w:rsidRDefault="0049531E" w:rsidP="002C6625">
            <w:pPr>
              <w:spacing w:line="360" w:lineRule="auto"/>
              <w:jc w:val="both"/>
              <w:rPr>
                <w:rFonts w:ascii="Times New Roman" w:eastAsia="Times New Roman" w:hAnsi="Times New Roman" w:cs="Times New Roman"/>
                <w:bCs/>
                <w:color w:val="000000"/>
                <w:shd w:val="clear" w:color="auto" w:fill="FFFFFF"/>
                <w:lang w:val="en-IN" w:eastAsia="en-IN"/>
              </w:rPr>
            </w:pPr>
          </w:p>
        </w:tc>
      </w:tr>
    </w:tbl>
    <w:p w14:paraId="5B4FD833" w14:textId="77777777" w:rsidR="008B4488" w:rsidRPr="002C6625" w:rsidRDefault="008B4488" w:rsidP="002C6625">
      <w:pPr>
        <w:spacing w:line="360" w:lineRule="auto"/>
        <w:jc w:val="both"/>
        <w:rPr>
          <w:rFonts w:ascii="Times New Roman" w:hAnsi="Times New Roman" w:cs="Times New Roman"/>
          <w:color w:val="000000" w:themeColor="text1"/>
        </w:rPr>
      </w:pPr>
    </w:p>
    <w:sectPr w:rsidR="008B4488" w:rsidRPr="002C6625"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DB16A" w14:textId="77777777" w:rsidR="00713369" w:rsidRDefault="00713369" w:rsidP="00F65AB0">
      <w:pPr>
        <w:spacing w:after="0" w:line="240" w:lineRule="auto"/>
      </w:pPr>
      <w:r>
        <w:separator/>
      </w:r>
    </w:p>
  </w:endnote>
  <w:endnote w:type="continuationSeparator" w:id="0">
    <w:p w14:paraId="3A313303" w14:textId="77777777" w:rsidR="00713369" w:rsidRDefault="0071336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04C3E" w14:textId="77777777" w:rsidR="00713369" w:rsidRDefault="00713369" w:rsidP="00F65AB0">
      <w:pPr>
        <w:spacing w:after="0" w:line="240" w:lineRule="auto"/>
      </w:pPr>
      <w:r>
        <w:separator/>
      </w:r>
    </w:p>
  </w:footnote>
  <w:footnote w:type="continuationSeparator" w:id="0">
    <w:p w14:paraId="463635A6" w14:textId="77777777" w:rsidR="00713369" w:rsidRDefault="00713369"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0"/>
  </w:num>
  <w:num w:numId="9">
    <w:abstractNumId w:val="11"/>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74BB"/>
    <w:rsid w:val="00014C71"/>
    <w:rsid w:val="00017665"/>
    <w:rsid w:val="00020171"/>
    <w:rsid w:val="00022642"/>
    <w:rsid w:val="000259A0"/>
    <w:rsid w:val="000321C7"/>
    <w:rsid w:val="000400DC"/>
    <w:rsid w:val="000431E8"/>
    <w:rsid w:val="00044822"/>
    <w:rsid w:val="000457B6"/>
    <w:rsid w:val="0005082C"/>
    <w:rsid w:val="00053B1E"/>
    <w:rsid w:val="000556B9"/>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569"/>
    <w:rsid w:val="000B657D"/>
    <w:rsid w:val="000B6E05"/>
    <w:rsid w:val="000D4CD0"/>
    <w:rsid w:val="000E54F7"/>
    <w:rsid w:val="000E6408"/>
    <w:rsid w:val="000F5630"/>
    <w:rsid w:val="00105782"/>
    <w:rsid w:val="00106900"/>
    <w:rsid w:val="00107020"/>
    <w:rsid w:val="001231C7"/>
    <w:rsid w:val="00123835"/>
    <w:rsid w:val="00127F1D"/>
    <w:rsid w:val="00130ED4"/>
    <w:rsid w:val="00131DB1"/>
    <w:rsid w:val="00136D61"/>
    <w:rsid w:val="00137641"/>
    <w:rsid w:val="00140858"/>
    <w:rsid w:val="00145DA8"/>
    <w:rsid w:val="001477C2"/>
    <w:rsid w:val="00153366"/>
    <w:rsid w:val="001608D1"/>
    <w:rsid w:val="0016648E"/>
    <w:rsid w:val="00170D72"/>
    <w:rsid w:val="00170E3E"/>
    <w:rsid w:val="00176BD8"/>
    <w:rsid w:val="00184F10"/>
    <w:rsid w:val="001934E3"/>
    <w:rsid w:val="00196D32"/>
    <w:rsid w:val="001B78D9"/>
    <w:rsid w:val="001C1CFA"/>
    <w:rsid w:val="001C69E1"/>
    <w:rsid w:val="001D3231"/>
    <w:rsid w:val="001D4D53"/>
    <w:rsid w:val="001D6421"/>
    <w:rsid w:val="001E7D0D"/>
    <w:rsid w:val="001F1ED3"/>
    <w:rsid w:val="00201F6F"/>
    <w:rsid w:val="00203216"/>
    <w:rsid w:val="00217DC5"/>
    <w:rsid w:val="00222047"/>
    <w:rsid w:val="00234EDA"/>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C6625"/>
    <w:rsid w:val="002D0A93"/>
    <w:rsid w:val="002D3B97"/>
    <w:rsid w:val="002D4562"/>
    <w:rsid w:val="002E41A1"/>
    <w:rsid w:val="002E69E4"/>
    <w:rsid w:val="002E7F20"/>
    <w:rsid w:val="002F4AB6"/>
    <w:rsid w:val="00304310"/>
    <w:rsid w:val="003069E0"/>
    <w:rsid w:val="00316A94"/>
    <w:rsid w:val="00325C41"/>
    <w:rsid w:val="00330297"/>
    <w:rsid w:val="00330C8F"/>
    <w:rsid w:val="00333907"/>
    <w:rsid w:val="003378AC"/>
    <w:rsid w:val="00342A2D"/>
    <w:rsid w:val="00351C1F"/>
    <w:rsid w:val="00353C2B"/>
    <w:rsid w:val="003570F3"/>
    <w:rsid w:val="00357AAB"/>
    <w:rsid w:val="003604A0"/>
    <w:rsid w:val="00360C08"/>
    <w:rsid w:val="00363186"/>
    <w:rsid w:val="003653C6"/>
    <w:rsid w:val="00367FB9"/>
    <w:rsid w:val="00391FEF"/>
    <w:rsid w:val="00395330"/>
    <w:rsid w:val="003A5484"/>
    <w:rsid w:val="003B2769"/>
    <w:rsid w:val="003C2DA4"/>
    <w:rsid w:val="003C42FF"/>
    <w:rsid w:val="003C6542"/>
    <w:rsid w:val="003E3470"/>
    <w:rsid w:val="003E40DF"/>
    <w:rsid w:val="003E63CE"/>
    <w:rsid w:val="003E641A"/>
    <w:rsid w:val="003F4FD2"/>
    <w:rsid w:val="00405713"/>
    <w:rsid w:val="00406062"/>
    <w:rsid w:val="00427F69"/>
    <w:rsid w:val="00430795"/>
    <w:rsid w:val="00433975"/>
    <w:rsid w:val="00436A3D"/>
    <w:rsid w:val="00442808"/>
    <w:rsid w:val="00445057"/>
    <w:rsid w:val="00452E67"/>
    <w:rsid w:val="00455AD6"/>
    <w:rsid w:val="00462877"/>
    <w:rsid w:val="004726E9"/>
    <w:rsid w:val="004740BF"/>
    <w:rsid w:val="004860A8"/>
    <w:rsid w:val="00487297"/>
    <w:rsid w:val="0049531E"/>
    <w:rsid w:val="004A3AA5"/>
    <w:rsid w:val="004A6239"/>
    <w:rsid w:val="004E685A"/>
    <w:rsid w:val="004F3E6C"/>
    <w:rsid w:val="004F4330"/>
    <w:rsid w:val="00507DC4"/>
    <w:rsid w:val="00513B0A"/>
    <w:rsid w:val="00515727"/>
    <w:rsid w:val="00517DEE"/>
    <w:rsid w:val="00527526"/>
    <w:rsid w:val="00527645"/>
    <w:rsid w:val="005527AD"/>
    <w:rsid w:val="00557E5D"/>
    <w:rsid w:val="005636D6"/>
    <w:rsid w:val="005731C2"/>
    <w:rsid w:val="00575594"/>
    <w:rsid w:val="00576D4A"/>
    <w:rsid w:val="00581FF0"/>
    <w:rsid w:val="00584D8C"/>
    <w:rsid w:val="005921AE"/>
    <w:rsid w:val="00592E03"/>
    <w:rsid w:val="005A4408"/>
    <w:rsid w:val="005A6CDC"/>
    <w:rsid w:val="005A7ACE"/>
    <w:rsid w:val="005C09BF"/>
    <w:rsid w:val="005C1091"/>
    <w:rsid w:val="005C59E4"/>
    <w:rsid w:val="005D72EB"/>
    <w:rsid w:val="005D7FCF"/>
    <w:rsid w:val="005F3BA8"/>
    <w:rsid w:val="00600502"/>
    <w:rsid w:val="006019BB"/>
    <w:rsid w:val="00605F6B"/>
    <w:rsid w:val="006109E9"/>
    <w:rsid w:val="0061104A"/>
    <w:rsid w:val="00622162"/>
    <w:rsid w:val="006303D8"/>
    <w:rsid w:val="0063636F"/>
    <w:rsid w:val="00641CA9"/>
    <w:rsid w:val="00647C6A"/>
    <w:rsid w:val="00653DBF"/>
    <w:rsid w:val="00654530"/>
    <w:rsid w:val="00655FCD"/>
    <w:rsid w:val="006724B5"/>
    <w:rsid w:val="006805DD"/>
    <w:rsid w:val="00680E0D"/>
    <w:rsid w:val="00694802"/>
    <w:rsid w:val="006A1242"/>
    <w:rsid w:val="006B7950"/>
    <w:rsid w:val="006B7994"/>
    <w:rsid w:val="006C00A2"/>
    <w:rsid w:val="006C038F"/>
    <w:rsid w:val="006C38F6"/>
    <w:rsid w:val="006D1E4A"/>
    <w:rsid w:val="006D5A05"/>
    <w:rsid w:val="006D5D7A"/>
    <w:rsid w:val="006E155C"/>
    <w:rsid w:val="006F3B31"/>
    <w:rsid w:val="00701237"/>
    <w:rsid w:val="00703112"/>
    <w:rsid w:val="00706B8E"/>
    <w:rsid w:val="00713369"/>
    <w:rsid w:val="007154B8"/>
    <w:rsid w:val="00716749"/>
    <w:rsid w:val="00717518"/>
    <w:rsid w:val="00717DD7"/>
    <w:rsid w:val="00722B4E"/>
    <w:rsid w:val="00723200"/>
    <w:rsid w:val="007242BC"/>
    <w:rsid w:val="00724632"/>
    <w:rsid w:val="00727A8C"/>
    <w:rsid w:val="007339FE"/>
    <w:rsid w:val="00733A6B"/>
    <w:rsid w:val="00734177"/>
    <w:rsid w:val="00740568"/>
    <w:rsid w:val="00746D0E"/>
    <w:rsid w:val="00751219"/>
    <w:rsid w:val="00751C4B"/>
    <w:rsid w:val="00764BBE"/>
    <w:rsid w:val="0076574F"/>
    <w:rsid w:val="00766F94"/>
    <w:rsid w:val="00767BB4"/>
    <w:rsid w:val="00780857"/>
    <w:rsid w:val="00782503"/>
    <w:rsid w:val="00785A5B"/>
    <w:rsid w:val="00785C75"/>
    <w:rsid w:val="007942BE"/>
    <w:rsid w:val="007948F6"/>
    <w:rsid w:val="007A0008"/>
    <w:rsid w:val="007B4727"/>
    <w:rsid w:val="007D3453"/>
    <w:rsid w:val="007E2EB8"/>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3D20"/>
    <w:rsid w:val="008412D2"/>
    <w:rsid w:val="00844E5F"/>
    <w:rsid w:val="008472A2"/>
    <w:rsid w:val="00847796"/>
    <w:rsid w:val="00882931"/>
    <w:rsid w:val="00886D71"/>
    <w:rsid w:val="008B4488"/>
    <w:rsid w:val="008B6FAA"/>
    <w:rsid w:val="008D03F1"/>
    <w:rsid w:val="008D3533"/>
    <w:rsid w:val="008E1089"/>
    <w:rsid w:val="008E22AF"/>
    <w:rsid w:val="008E492C"/>
    <w:rsid w:val="00903CFC"/>
    <w:rsid w:val="00903E21"/>
    <w:rsid w:val="009108FB"/>
    <w:rsid w:val="009134DE"/>
    <w:rsid w:val="00916B2C"/>
    <w:rsid w:val="009333C8"/>
    <w:rsid w:val="0093371C"/>
    <w:rsid w:val="009359DF"/>
    <w:rsid w:val="009452B0"/>
    <w:rsid w:val="00955CD2"/>
    <w:rsid w:val="009727D7"/>
    <w:rsid w:val="00976D27"/>
    <w:rsid w:val="00982A3B"/>
    <w:rsid w:val="009830A5"/>
    <w:rsid w:val="009A2D7F"/>
    <w:rsid w:val="009A4E8E"/>
    <w:rsid w:val="009A72E2"/>
    <w:rsid w:val="009C0302"/>
    <w:rsid w:val="009C1976"/>
    <w:rsid w:val="009C3B36"/>
    <w:rsid w:val="009C72D3"/>
    <w:rsid w:val="009E66B8"/>
    <w:rsid w:val="009F18B7"/>
    <w:rsid w:val="00A01660"/>
    <w:rsid w:val="00A016F7"/>
    <w:rsid w:val="00A1319E"/>
    <w:rsid w:val="00A151D5"/>
    <w:rsid w:val="00A22728"/>
    <w:rsid w:val="00A23721"/>
    <w:rsid w:val="00A37F5C"/>
    <w:rsid w:val="00A4511C"/>
    <w:rsid w:val="00A546D4"/>
    <w:rsid w:val="00A62DB3"/>
    <w:rsid w:val="00A65E83"/>
    <w:rsid w:val="00A6677E"/>
    <w:rsid w:val="00A67FDE"/>
    <w:rsid w:val="00A72504"/>
    <w:rsid w:val="00A74AF7"/>
    <w:rsid w:val="00A843C5"/>
    <w:rsid w:val="00A960E7"/>
    <w:rsid w:val="00AA1FC0"/>
    <w:rsid w:val="00AA7693"/>
    <w:rsid w:val="00AB707D"/>
    <w:rsid w:val="00AC374C"/>
    <w:rsid w:val="00AC46E7"/>
    <w:rsid w:val="00AC6BD7"/>
    <w:rsid w:val="00AC7AE5"/>
    <w:rsid w:val="00AD3141"/>
    <w:rsid w:val="00AE5C6A"/>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B33F8"/>
    <w:rsid w:val="00BB6496"/>
    <w:rsid w:val="00BB659B"/>
    <w:rsid w:val="00BC035E"/>
    <w:rsid w:val="00BC4993"/>
    <w:rsid w:val="00BC767D"/>
    <w:rsid w:val="00BD5ADD"/>
    <w:rsid w:val="00BE148D"/>
    <w:rsid w:val="00BE1BE2"/>
    <w:rsid w:val="00BE3728"/>
    <w:rsid w:val="00BF0F76"/>
    <w:rsid w:val="00BF199D"/>
    <w:rsid w:val="00C11AC0"/>
    <w:rsid w:val="00C16DBD"/>
    <w:rsid w:val="00C21D1D"/>
    <w:rsid w:val="00C242DB"/>
    <w:rsid w:val="00C24704"/>
    <w:rsid w:val="00C24BA2"/>
    <w:rsid w:val="00C5151C"/>
    <w:rsid w:val="00C51DFB"/>
    <w:rsid w:val="00C54EE9"/>
    <w:rsid w:val="00C60A17"/>
    <w:rsid w:val="00C73CB1"/>
    <w:rsid w:val="00C8007C"/>
    <w:rsid w:val="00C84A5D"/>
    <w:rsid w:val="00CA6140"/>
    <w:rsid w:val="00CB012E"/>
    <w:rsid w:val="00CB53D9"/>
    <w:rsid w:val="00CB75F8"/>
    <w:rsid w:val="00CC0027"/>
    <w:rsid w:val="00CC2D31"/>
    <w:rsid w:val="00CC6E5D"/>
    <w:rsid w:val="00CD7803"/>
    <w:rsid w:val="00CF02C6"/>
    <w:rsid w:val="00CF34AE"/>
    <w:rsid w:val="00D04009"/>
    <w:rsid w:val="00D139E0"/>
    <w:rsid w:val="00D154FB"/>
    <w:rsid w:val="00D155A9"/>
    <w:rsid w:val="00D211DD"/>
    <w:rsid w:val="00D25D55"/>
    <w:rsid w:val="00D365C7"/>
    <w:rsid w:val="00D370CF"/>
    <w:rsid w:val="00D411DC"/>
    <w:rsid w:val="00D415D5"/>
    <w:rsid w:val="00D64761"/>
    <w:rsid w:val="00D92A64"/>
    <w:rsid w:val="00D940FC"/>
    <w:rsid w:val="00DA64E1"/>
    <w:rsid w:val="00DB4805"/>
    <w:rsid w:val="00DB6598"/>
    <w:rsid w:val="00DB7D9F"/>
    <w:rsid w:val="00DC6727"/>
    <w:rsid w:val="00DD6B57"/>
    <w:rsid w:val="00DD6F7C"/>
    <w:rsid w:val="00DE1583"/>
    <w:rsid w:val="00DE24E6"/>
    <w:rsid w:val="00DF4FE7"/>
    <w:rsid w:val="00DF5992"/>
    <w:rsid w:val="00E26DFF"/>
    <w:rsid w:val="00E41D86"/>
    <w:rsid w:val="00E41E12"/>
    <w:rsid w:val="00E420A0"/>
    <w:rsid w:val="00E542EC"/>
    <w:rsid w:val="00E62AFE"/>
    <w:rsid w:val="00E667CC"/>
    <w:rsid w:val="00E70F16"/>
    <w:rsid w:val="00E738BD"/>
    <w:rsid w:val="00E81A95"/>
    <w:rsid w:val="00E82C4E"/>
    <w:rsid w:val="00E86BEB"/>
    <w:rsid w:val="00E9204E"/>
    <w:rsid w:val="00E9230E"/>
    <w:rsid w:val="00E963B6"/>
    <w:rsid w:val="00EA2200"/>
    <w:rsid w:val="00EB2464"/>
    <w:rsid w:val="00EB3E7C"/>
    <w:rsid w:val="00EC02F1"/>
    <w:rsid w:val="00EC5DC2"/>
    <w:rsid w:val="00ED0CFE"/>
    <w:rsid w:val="00ED5DAB"/>
    <w:rsid w:val="00ED60F3"/>
    <w:rsid w:val="00EE4B5E"/>
    <w:rsid w:val="00EE6C65"/>
    <w:rsid w:val="00EF5935"/>
    <w:rsid w:val="00F0701D"/>
    <w:rsid w:val="00F13ED7"/>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CDF"/>
    <w:rsid w:val="00FB43D3"/>
    <w:rsid w:val="00FB5370"/>
    <w:rsid w:val="00FC53AD"/>
    <w:rsid w:val="00FD1551"/>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2023-02-21T13:16:00Z</dcterms:created>
  <dcterms:modified xsi:type="dcterms:W3CDTF">2023-02-21T13:16:00Z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